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75" w:rsidRDefault="00907075" w:rsidP="00907075">
      <w:pPr>
        <w:rPr>
          <w:rFonts w:ascii="仿宋" w:eastAsia="仿宋" w:hAnsi="仿宋"/>
          <w:sz w:val="32"/>
          <w:szCs w:val="32"/>
        </w:rPr>
      </w:pPr>
      <w:r>
        <w:rPr>
          <w:rFonts w:ascii="仿宋" w:eastAsia="仿宋" w:hAnsi="仿宋"/>
          <w:sz w:val="32"/>
          <w:szCs w:val="32"/>
        </w:rPr>
        <w:t>附件</w:t>
      </w:r>
      <w:r>
        <w:rPr>
          <w:rFonts w:ascii="仿宋" w:eastAsia="仿宋" w:hAnsi="仿宋" w:hint="eastAsia"/>
          <w:sz w:val="32"/>
          <w:szCs w:val="32"/>
        </w:rPr>
        <w:t>：</w:t>
      </w:r>
      <w:bookmarkStart w:id="0" w:name="_GoBack"/>
      <w:bookmarkEnd w:id="0"/>
    </w:p>
    <w:p w:rsidR="00907075" w:rsidRPr="00EC097D" w:rsidRDefault="00907075" w:rsidP="00907075">
      <w:pPr>
        <w:jc w:val="center"/>
        <w:rPr>
          <w:rFonts w:ascii="仿宋" w:eastAsia="仿宋" w:hAnsi="仿宋"/>
          <w:sz w:val="32"/>
          <w:szCs w:val="32"/>
        </w:rPr>
      </w:pPr>
      <w:r>
        <w:rPr>
          <w:rFonts w:ascii="仿宋" w:eastAsia="仿宋" w:hAnsi="仿宋" w:hint="eastAsia"/>
          <w:sz w:val="32"/>
          <w:szCs w:val="32"/>
        </w:rPr>
        <w:t>对集团具有重大影响的境外组成部分</w:t>
      </w:r>
      <w:r w:rsidRPr="00F87676">
        <w:rPr>
          <w:rFonts w:ascii="仿宋" w:eastAsia="仿宋" w:hAnsi="仿宋" w:hint="eastAsia"/>
          <w:sz w:val="32"/>
          <w:szCs w:val="32"/>
        </w:rPr>
        <w:t>审计工作需要关注的流程</w:t>
      </w:r>
      <w:r w:rsidRPr="006C0428">
        <w:rPr>
          <w:rFonts w:ascii="仿宋" w:eastAsia="仿宋" w:hAnsi="仿宋" w:hint="eastAsia"/>
          <w:sz w:val="32"/>
          <w:szCs w:val="32"/>
        </w:rPr>
        <w:t>示例</w:t>
      </w:r>
    </w:p>
    <w:tbl>
      <w:tblPr>
        <w:tblW w:w="9639" w:type="dxa"/>
        <w:tblInd w:w="108" w:type="dxa"/>
        <w:tblLook w:val="04A0" w:firstRow="1" w:lastRow="0" w:firstColumn="1" w:lastColumn="0" w:noHBand="0" w:noVBand="1"/>
      </w:tblPr>
      <w:tblGrid>
        <w:gridCol w:w="1801"/>
        <w:gridCol w:w="7838"/>
      </w:tblGrid>
      <w:tr w:rsidR="00907075" w:rsidRPr="00BF1F7C" w:rsidTr="00822E90">
        <w:trPr>
          <w:trHeight w:val="300"/>
        </w:trPr>
        <w:tc>
          <w:tcPr>
            <w:tcW w:w="1801" w:type="dxa"/>
            <w:tcBorders>
              <w:top w:val="single" w:sz="8" w:space="0" w:color="A32020"/>
              <w:left w:val="nil"/>
              <w:bottom w:val="nil"/>
              <w:right w:val="single" w:sz="8" w:space="0" w:color="A32020"/>
            </w:tcBorders>
            <w:shd w:val="clear" w:color="000000" w:fill="E06161"/>
            <w:vAlign w:val="center"/>
            <w:hideMark/>
          </w:tcPr>
          <w:p w:rsidR="00907075" w:rsidRPr="00BF1F7C" w:rsidRDefault="00907075" w:rsidP="00822E90">
            <w:pPr>
              <w:jc w:val="center"/>
              <w:rPr>
                <w:rFonts w:ascii="宋体" w:hAnsi="宋体" w:cs="Calibri"/>
                <w:color w:val="000000"/>
                <w:sz w:val="24"/>
              </w:rPr>
            </w:pPr>
            <w:r w:rsidRPr="00BF1F7C">
              <w:rPr>
                <w:rFonts w:ascii="宋体" w:hAnsi="宋体" w:cs="Calibri" w:hint="eastAsia"/>
                <w:color w:val="000000"/>
                <w:sz w:val="24"/>
              </w:rPr>
              <w:t>审计计划和审计执行的沟通领域</w:t>
            </w:r>
          </w:p>
        </w:tc>
        <w:tc>
          <w:tcPr>
            <w:tcW w:w="7838" w:type="dxa"/>
            <w:tcBorders>
              <w:top w:val="single" w:sz="8" w:space="0" w:color="A32020"/>
              <w:left w:val="nil"/>
              <w:bottom w:val="nil"/>
              <w:right w:val="nil"/>
            </w:tcBorders>
            <w:shd w:val="clear" w:color="000000" w:fill="E06161"/>
            <w:vAlign w:val="center"/>
            <w:hideMark/>
          </w:tcPr>
          <w:p w:rsidR="00907075" w:rsidRPr="00BF1F7C" w:rsidRDefault="00907075" w:rsidP="00822E90">
            <w:pPr>
              <w:jc w:val="center"/>
              <w:rPr>
                <w:rFonts w:ascii="宋体" w:hAnsi="宋体" w:cs="Calibri"/>
                <w:color w:val="000000"/>
                <w:sz w:val="24"/>
              </w:rPr>
            </w:pPr>
            <w:r w:rsidRPr="00BF1F7C">
              <w:rPr>
                <w:rFonts w:ascii="宋体" w:hAnsi="宋体" w:cs="Calibri" w:hint="eastAsia"/>
                <w:color w:val="000000"/>
                <w:sz w:val="24"/>
              </w:rPr>
              <w:t>集团项目组与境外组成部分注册会计师的</w:t>
            </w:r>
          </w:p>
          <w:p w:rsidR="00907075" w:rsidRPr="00BF1F7C" w:rsidRDefault="00907075" w:rsidP="00822E90">
            <w:pPr>
              <w:jc w:val="center"/>
              <w:rPr>
                <w:rFonts w:ascii="宋体" w:hAnsi="宋体" w:cs="Calibri"/>
                <w:color w:val="000000"/>
                <w:sz w:val="24"/>
              </w:rPr>
            </w:pPr>
            <w:r w:rsidRPr="00BF1F7C">
              <w:rPr>
                <w:rFonts w:ascii="宋体" w:hAnsi="宋体" w:cs="Calibri" w:hint="eastAsia"/>
                <w:color w:val="000000"/>
                <w:sz w:val="24"/>
              </w:rPr>
              <w:t>具体沟通步骤和审阅内容</w:t>
            </w:r>
          </w:p>
        </w:tc>
      </w:tr>
      <w:tr w:rsidR="00907075" w:rsidRPr="00BF1F7C" w:rsidTr="00822E90">
        <w:trPr>
          <w:trHeight w:val="780"/>
        </w:trPr>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7075" w:rsidRPr="00F87676" w:rsidRDefault="00907075" w:rsidP="00822E90">
            <w:pPr>
              <w:ind w:left="37"/>
              <w:rPr>
                <w:rFonts w:ascii="仿宋" w:eastAsia="仿宋" w:hAnsi="仿宋" w:cs="Arial"/>
                <w:color w:val="0070C0"/>
                <w:sz w:val="24"/>
              </w:rPr>
            </w:pPr>
            <w:r w:rsidRPr="00F87676">
              <w:rPr>
                <w:rFonts w:ascii="仿宋" w:eastAsia="仿宋" w:hAnsi="仿宋" w:cs="Arial" w:hint="eastAsia"/>
                <w:color w:val="0070C0"/>
                <w:sz w:val="24"/>
              </w:rPr>
              <w:t>第一阶段：</w:t>
            </w:r>
          </w:p>
          <w:p w:rsidR="00907075" w:rsidRPr="00F87676" w:rsidRDefault="00907075" w:rsidP="00822E90">
            <w:pPr>
              <w:ind w:left="37"/>
              <w:rPr>
                <w:rFonts w:ascii="仿宋" w:eastAsia="仿宋" w:hAnsi="仿宋" w:cs="Arial"/>
                <w:color w:val="0070C0"/>
                <w:sz w:val="24"/>
              </w:rPr>
            </w:pPr>
            <w:r w:rsidRPr="00F87676">
              <w:rPr>
                <w:rFonts w:ascii="仿宋" w:eastAsia="仿宋" w:hAnsi="仿宋" w:cs="Arial" w:hint="eastAsia"/>
                <w:color w:val="0070C0"/>
                <w:sz w:val="24"/>
              </w:rPr>
              <w:t>了解集团内所属境外公司的业务环境和可能引起财务报表重大错报的风险领域</w:t>
            </w:r>
          </w:p>
        </w:tc>
        <w:tc>
          <w:tcPr>
            <w:tcW w:w="7838" w:type="dxa"/>
            <w:tcBorders>
              <w:top w:val="single" w:sz="4" w:space="0" w:color="auto"/>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此阶段的目的是应了解境外组成部分注册会计师针对本集团境外组成部分的审计风险事项的识别和评估风险的应对思路；包括重大风险和潜在重大风险</w:t>
            </w:r>
          </w:p>
        </w:tc>
      </w:tr>
      <w:tr w:rsidR="00907075" w:rsidRPr="00BF1F7C" w:rsidTr="00822E90">
        <w:trPr>
          <w:trHeight w:val="88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了解其对境外组成部分所处的税务管理体制和关联交易的背景介绍和风险测评；通常这两个方面会引起财务报表错报的潜在风险</w:t>
            </w:r>
          </w:p>
        </w:tc>
      </w:tr>
      <w:tr w:rsidR="00907075" w:rsidRPr="00BF1F7C" w:rsidTr="00822E90">
        <w:trPr>
          <w:trHeight w:val="118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关注境外组成部分注册会计师是否基于以前年度对本境外组成部分的审计经验（如是第一年接受聘任，需额外考虑与前任注册会计师的交接步骤），充分测评了本年度境外组成部分的经营活动、经营目标、业务发展战略，与管理层详细了解是否有重大变化</w:t>
            </w:r>
          </w:p>
        </w:tc>
      </w:tr>
      <w:tr w:rsidR="00907075" w:rsidRPr="00BF1F7C" w:rsidTr="00822E90">
        <w:trPr>
          <w:trHeight w:val="94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确认境外注册会计师是否对境外组成部分以对财务报表产生直接影响与否为判断标准，执行了如下程序并记录在工作底稿中：</w:t>
            </w:r>
          </w:p>
          <w:p w:rsidR="00907075" w:rsidRPr="000E4F3D" w:rsidRDefault="00907075" w:rsidP="00822E90">
            <w:pPr>
              <w:rPr>
                <w:rFonts w:ascii="仿宋" w:eastAsia="仿宋" w:hAnsi="仿宋" w:cs="Arial"/>
                <w:color w:val="0070C0"/>
                <w:sz w:val="24"/>
              </w:rPr>
            </w:pPr>
            <w:r>
              <w:rPr>
                <w:rFonts w:ascii="仿宋" w:eastAsia="仿宋" w:hAnsi="仿宋" w:cs="Arial" w:hint="eastAsia"/>
                <w:color w:val="0070C0"/>
                <w:sz w:val="24"/>
              </w:rPr>
              <w:t>（1）</w:t>
            </w:r>
            <w:r w:rsidRPr="000E4F3D">
              <w:rPr>
                <w:rFonts w:ascii="仿宋" w:eastAsia="仿宋" w:hAnsi="仿宋" w:cs="Arial" w:hint="eastAsia"/>
                <w:color w:val="0070C0"/>
                <w:sz w:val="24"/>
              </w:rPr>
              <w:t>了解经营控制环境、信息系统和主要业务流程的设置；</w:t>
            </w:r>
          </w:p>
          <w:p w:rsidR="00907075" w:rsidRPr="000E4F3D" w:rsidRDefault="00907075" w:rsidP="00822E90">
            <w:pPr>
              <w:rPr>
                <w:rFonts w:ascii="仿宋" w:eastAsia="仿宋" w:hAnsi="仿宋" w:cs="Arial"/>
                <w:color w:val="0070C0"/>
                <w:sz w:val="24"/>
              </w:rPr>
            </w:pPr>
            <w:r>
              <w:rPr>
                <w:rFonts w:ascii="仿宋" w:eastAsia="仿宋" w:hAnsi="仿宋" w:cs="Arial" w:hint="eastAsia"/>
                <w:color w:val="0070C0"/>
                <w:sz w:val="24"/>
              </w:rPr>
              <w:t>（2）</w:t>
            </w:r>
            <w:r w:rsidRPr="000E4F3D">
              <w:rPr>
                <w:rFonts w:ascii="仿宋" w:eastAsia="仿宋" w:hAnsi="仿宋" w:cs="Arial" w:hint="eastAsia"/>
                <w:color w:val="0070C0"/>
                <w:sz w:val="24"/>
              </w:rPr>
              <w:t>在境外组成部分（公司层面）评价相关的内部控制活动，测试其是否得以执行，</w:t>
            </w:r>
            <w:r w:rsidRPr="000E4F3D">
              <w:rPr>
                <w:rFonts w:ascii="仿宋" w:eastAsia="仿宋" w:hAnsi="仿宋" w:cs="Arial"/>
                <w:color w:val="0070C0"/>
                <w:sz w:val="24"/>
              </w:rPr>
              <w:t xml:space="preserve"> </w:t>
            </w:r>
            <w:r w:rsidRPr="000E4F3D">
              <w:rPr>
                <w:rFonts w:ascii="仿宋" w:eastAsia="仿宋" w:hAnsi="仿宋" w:cs="Arial" w:hint="eastAsia"/>
                <w:color w:val="0070C0"/>
                <w:sz w:val="24"/>
              </w:rPr>
              <w:t>并判断其有效性</w:t>
            </w:r>
          </w:p>
        </w:tc>
      </w:tr>
      <w:tr w:rsidR="00907075" w:rsidRPr="00BF1F7C" w:rsidTr="00822E90">
        <w:trPr>
          <w:trHeight w:val="634"/>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确认工作底稿中有记录境外注册会计师对审计风险的识别汇总表，以及针对每一项风险的应对措施</w:t>
            </w:r>
          </w:p>
        </w:tc>
      </w:tr>
      <w:tr w:rsidR="00907075" w:rsidRPr="00BF1F7C" w:rsidTr="00822E90">
        <w:trPr>
          <w:trHeight w:val="510"/>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color w:val="0070C0"/>
                <w:sz w:val="24"/>
              </w:rPr>
              <w:t>关于舞弊风险的分析和判断，了解境外注册会计师的团队内部讨论和以及与当地管理层和公司治理层的沟通询问</w:t>
            </w:r>
          </w:p>
        </w:tc>
      </w:tr>
      <w:tr w:rsidR="00907075" w:rsidRPr="00BF1F7C" w:rsidTr="00822E90">
        <w:trPr>
          <w:trHeight w:val="49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color w:val="0070C0"/>
                <w:sz w:val="24"/>
              </w:rPr>
              <w:t xml:space="preserve">在审计计划阶段，取得上述方面境外注册会计师的工作备忘录， </w:t>
            </w:r>
            <w:r w:rsidRPr="00F87676">
              <w:rPr>
                <w:rFonts w:ascii="仿宋" w:eastAsia="仿宋" w:hAnsi="仿宋" w:cs="Arial" w:hint="eastAsia"/>
                <w:color w:val="0070C0"/>
                <w:sz w:val="24"/>
              </w:rPr>
              <w:t>确保与境外注册会计师达成对审计方案的执行计划以及提供的书面沟通文件的共识</w:t>
            </w:r>
          </w:p>
        </w:tc>
      </w:tr>
      <w:tr w:rsidR="00907075" w:rsidRPr="00BF1F7C" w:rsidTr="00822E90">
        <w:trPr>
          <w:trHeight w:val="1005"/>
        </w:trPr>
        <w:tc>
          <w:tcPr>
            <w:tcW w:w="18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7075" w:rsidRPr="00F87676" w:rsidRDefault="00907075" w:rsidP="00822E90">
            <w:pPr>
              <w:jc w:val="center"/>
              <w:rPr>
                <w:rFonts w:ascii="仿宋" w:eastAsia="仿宋" w:hAnsi="仿宋" w:cs="Arial"/>
                <w:color w:val="0070C0"/>
                <w:sz w:val="24"/>
              </w:rPr>
            </w:pPr>
            <w:r w:rsidRPr="00F87676">
              <w:rPr>
                <w:rFonts w:ascii="仿宋" w:eastAsia="仿宋" w:hAnsi="仿宋" w:cs="Arial" w:hint="eastAsia"/>
                <w:color w:val="0070C0"/>
                <w:sz w:val="24"/>
              </w:rPr>
              <w:t>第二阶段：</w:t>
            </w:r>
          </w:p>
          <w:p w:rsidR="00907075" w:rsidRPr="00F87676" w:rsidRDefault="00907075" w:rsidP="00822E90">
            <w:pPr>
              <w:jc w:val="center"/>
              <w:rPr>
                <w:rFonts w:ascii="仿宋" w:eastAsia="仿宋" w:hAnsi="仿宋" w:cs="Arial"/>
                <w:color w:val="0070C0"/>
                <w:sz w:val="24"/>
              </w:rPr>
            </w:pPr>
            <w:r w:rsidRPr="00F87676">
              <w:rPr>
                <w:rFonts w:ascii="仿宋" w:eastAsia="仿宋" w:hAnsi="仿宋" w:cs="Arial" w:hint="eastAsia"/>
                <w:color w:val="0070C0"/>
                <w:sz w:val="24"/>
              </w:rPr>
              <w:t>总体审计策略和具体审计计划</w:t>
            </w: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proofErr w:type="gramStart"/>
            <w:r w:rsidRPr="00F87676">
              <w:rPr>
                <w:rFonts w:ascii="仿宋" w:eastAsia="仿宋" w:hAnsi="仿宋" w:cs="Arial" w:hint="eastAsia"/>
                <w:color w:val="0070C0"/>
                <w:sz w:val="24"/>
              </w:rPr>
              <w:t>基于第一</w:t>
            </w:r>
            <w:proofErr w:type="gramEnd"/>
            <w:r w:rsidRPr="00F87676">
              <w:rPr>
                <w:rFonts w:ascii="仿宋" w:eastAsia="仿宋" w:hAnsi="仿宋" w:cs="Arial" w:hint="eastAsia"/>
                <w:color w:val="0070C0"/>
                <w:sz w:val="24"/>
              </w:rPr>
              <w:t>阶段的总体背景了解和风险识别汇总资料，为有效减低报表错报风险使其达到可接受水平，集团项目组应取得境外组成部分注册会计师的对境外组成部分的总体审计策略和具体审计计划；包括针对每一项审计风险的性质描述，需要测试的财务期间，测试的程度和样本量选取方法；必要时，考虑在集团给予境外注册会计师的集团项目组指令函中，书面达成可行性的共识</w:t>
            </w:r>
          </w:p>
        </w:tc>
      </w:tr>
      <w:tr w:rsidR="00907075" w:rsidRPr="00BF1F7C" w:rsidTr="00822E90">
        <w:trPr>
          <w:trHeight w:val="1080"/>
        </w:trPr>
        <w:tc>
          <w:tcPr>
            <w:tcW w:w="1801" w:type="dxa"/>
            <w:vMerge/>
            <w:tcBorders>
              <w:top w:val="single" w:sz="4" w:space="0" w:color="auto"/>
              <w:left w:val="single" w:sz="4" w:space="0" w:color="auto"/>
              <w:bottom w:val="single" w:sz="4" w:space="0" w:color="000000"/>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针对重大风险和特殊疑难事项（如关联交易），与境外注册会计师讨论在境外组成部分执行的审计程序是否足够应对错报风险，是否需要集团项目组在集团总部协调并参与执行一部分工作</w:t>
            </w:r>
          </w:p>
        </w:tc>
      </w:tr>
      <w:tr w:rsidR="00907075" w:rsidRPr="00BF1F7C" w:rsidTr="00822E90">
        <w:trPr>
          <w:trHeight w:val="720"/>
        </w:trPr>
        <w:tc>
          <w:tcPr>
            <w:tcW w:w="1801" w:type="dxa"/>
            <w:vMerge/>
            <w:tcBorders>
              <w:top w:val="single" w:sz="4" w:space="0" w:color="auto"/>
              <w:left w:val="single" w:sz="4" w:space="0" w:color="auto"/>
              <w:bottom w:val="single" w:sz="4" w:space="0" w:color="000000"/>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对收入科目，需要充分了解境外注册会计师对此重大科目所做的具体控制环节的测试和实质性程序，</w:t>
            </w:r>
            <w:r w:rsidRPr="00F87676">
              <w:rPr>
                <w:rFonts w:ascii="仿宋" w:eastAsia="仿宋" w:hAnsi="仿宋" w:cs="Arial"/>
                <w:color w:val="0070C0"/>
                <w:sz w:val="24"/>
              </w:rPr>
              <w:t xml:space="preserve"> </w:t>
            </w:r>
            <w:r w:rsidRPr="00F87676">
              <w:rPr>
                <w:rFonts w:ascii="仿宋" w:eastAsia="仿宋" w:hAnsi="仿宋" w:cs="Arial" w:hint="eastAsia"/>
                <w:color w:val="0070C0"/>
                <w:sz w:val="24"/>
              </w:rPr>
              <w:t>针对收入的财务信息的舞弊风险的应对分析和测试检查步骤</w:t>
            </w:r>
            <w:r w:rsidRPr="00F87676">
              <w:rPr>
                <w:rFonts w:ascii="仿宋" w:eastAsia="仿宋" w:hAnsi="仿宋" w:cs="Arial"/>
                <w:color w:val="0070C0"/>
                <w:sz w:val="24"/>
              </w:rPr>
              <w:t xml:space="preserve"> </w:t>
            </w:r>
          </w:p>
        </w:tc>
      </w:tr>
      <w:tr w:rsidR="00907075" w:rsidRPr="00BF1F7C" w:rsidTr="00822E90">
        <w:trPr>
          <w:trHeight w:val="555"/>
        </w:trPr>
        <w:tc>
          <w:tcPr>
            <w:tcW w:w="1801" w:type="dxa"/>
            <w:vMerge/>
            <w:tcBorders>
              <w:top w:val="single" w:sz="4" w:space="0" w:color="auto"/>
              <w:left w:val="single" w:sz="4" w:space="0" w:color="auto"/>
              <w:bottom w:val="single" w:sz="4" w:space="0" w:color="000000"/>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对</w:t>
            </w:r>
            <w:r w:rsidRPr="00F87676">
              <w:rPr>
                <w:rFonts w:ascii="仿宋" w:eastAsia="仿宋" w:hAnsi="仿宋" w:cs="Arial"/>
                <w:color w:val="0070C0"/>
                <w:sz w:val="24"/>
              </w:rPr>
              <w:t>IT信息系统，了解</w:t>
            </w:r>
            <w:r w:rsidRPr="00F87676">
              <w:rPr>
                <w:rFonts w:ascii="仿宋" w:eastAsia="仿宋" w:hAnsi="仿宋" w:cs="Arial" w:hint="eastAsia"/>
                <w:color w:val="0070C0"/>
                <w:sz w:val="24"/>
              </w:rPr>
              <w:t>境外组成部分在</w:t>
            </w:r>
            <w:r w:rsidRPr="00F87676">
              <w:rPr>
                <w:rFonts w:ascii="仿宋" w:eastAsia="仿宋" w:hAnsi="仿宋" w:cs="Arial"/>
                <w:color w:val="0070C0"/>
                <w:sz w:val="24"/>
              </w:rPr>
              <w:t>IT系统的使用程度：是内部开发或是外包，业务体系对IT信息系统的控制环节的自动化依赖程度</w:t>
            </w:r>
          </w:p>
        </w:tc>
      </w:tr>
      <w:tr w:rsidR="00907075" w:rsidRPr="00BF1F7C" w:rsidTr="00822E90">
        <w:trPr>
          <w:trHeight w:val="390"/>
        </w:trPr>
        <w:tc>
          <w:tcPr>
            <w:tcW w:w="1801" w:type="dxa"/>
            <w:vMerge/>
            <w:tcBorders>
              <w:top w:val="single" w:sz="4" w:space="0" w:color="auto"/>
              <w:left w:val="single" w:sz="4" w:space="0" w:color="auto"/>
              <w:bottom w:val="single" w:sz="4" w:space="0" w:color="000000"/>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对税务专家的引入与否，应了解境外注册会计师针对当地税务事项和税务风险的</w:t>
            </w:r>
            <w:proofErr w:type="gramStart"/>
            <w:r w:rsidRPr="00F87676">
              <w:rPr>
                <w:rFonts w:ascii="仿宋" w:eastAsia="仿宋" w:hAnsi="仿宋" w:cs="Arial" w:hint="eastAsia"/>
                <w:color w:val="0070C0"/>
                <w:sz w:val="24"/>
              </w:rPr>
              <w:t>考量</w:t>
            </w:r>
            <w:proofErr w:type="gramEnd"/>
            <w:r w:rsidRPr="00F87676">
              <w:rPr>
                <w:rFonts w:ascii="仿宋" w:eastAsia="仿宋" w:hAnsi="仿宋" w:cs="Arial" w:hint="eastAsia"/>
                <w:color w:val="0070C0"/>
                <w:sz w:val="24"/>
              </w:rPr>
              <w:t>，商榷对税务专家的工作备忘录（通常可以是境外注册会计师事务所内部的税务专业人士）的工作采纳范围</w:t>
            </w:r>
          </w:p>
        </w:tc>
      </w:tr>
      <w:tr w:rsidR="00907075" w:rsidRPr="00BF1F7C" w:rsidTr="00822E90">
        <w:trPr>
          <w:trHeight w:val="615"/>
        </w:trPr>
        <w:tc>
          <w:tcPr>
            <w:tcW w:w="1801" w:type="dxa"/>
            <w:vMerge/>
            <w:tcBorders>
              <w:top w:val="single" w:sz="4" w:space="0" w:color="auto"/>
              <w:left w:val="single" w:sz="4" w:space="0" w:color="auto"/>
              <w:bottom w:val="single" w:sz="4" w:space="0" w:color="000000"/>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对境外组成部分还有下属子公司（三级子公司）的情况，需要了解在三级子公司是否跨境经营，</w:t>
            </w:r>
            <w:r w:rsidRPr="00F87676">
              <w:rPr>
                <w:rFonts w:ascii="仿宋" w:eastAsia="仿宋" w:hAnsi="仿宋" w:cs="Arial"/>
                <w:color w:val="0070C0"/>
                <w:sz w:val="24"/>
              </w:rPr>
              <w:t xml:space="preserve"> </w:t>
            </w:r>
            <w:r w:rsidRPr="00F87676">
              <w:rPr>
                <w:rFonts w:ascii="仿宋" w:eastAsia="仿宋" w:hAnsi="仿宋" w:cs="Arial" w:hint="eastAsia"/>
                <w:color w:val="0070C0"/>
                <w:sz w:val="24"/>
              </w:rPr>
              <w:t>如有，还应考虑三级子公司的重要程度以及如何引入其他境外注册会计师配合二级境外注册会计师的工作</w:t>
            </w:r>
          </w:p>
        </w:tc>
      </w:tr>
      <w:tr w:rsidR="00907075" w:rsidRPr="00BF1F7C" w:rsidTr="00822E90">
        <w:trPr>
          <w:trHeight w:val="420"/>
        </w:trPr>
        <w:tc>
          <w:tcPr>
            <w:tcW w:w="1801" w:type="dxa"/>
            <w:vMerge/>
            <w:tcBorders>
              <w:top w:val="single" w:sz="4" w:space="0" w:color="auto"/>
              <w:left w:val="single" w:sz="4" w:space="0" w:color="auto"/>
              <w:bottom w:val="single" w:sz="4" w:space="0" w:color="000000"/>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审阅了解境外注册会计师对报表重要性水平的计算方法和错报敏感性分析思路；评价其设计的审计方案能否充分匡算和归纳所有未更正的审计误差</w:t>
            </w:r>
          </w:p>
        </w:tc>
      </w:tr>
      <w:tr w:rsidR="00907075" w:rsidRPr="00BF1F7C" w:rsidTr="00822E90">
        <w:trPr>
          <w:trHeight w:val="975"/>
        </w:trPr>
        <w:tc>
          <w:tcPr>
            <w:tcW w:w="18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第三阶段：</w:t>
            </w:r>
          </w:p>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内部控制测评</w:t>
            </w:r>
          </w:p>
        </w:tc>
        <w:tc>
          <w:tcPr>
            <w:tcW w:w="7838" w:type="dxa"/>
            <w:tcBorders>
              <w:top w:val="nil"/>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proofErr w:type="gramStart"/>
            <w:r w:rsidRPr="00F87676">
              <w:rPr>
                <w:rFonts w:ascii="仿宋" w:eastAsia="仿宋" w:hAnsi="仿宋" w:cs="Arial" w:hint="eastAsia"/>
                <w:color w:val="0070C0"/>
                <w:sz w:val="24"/>
              </w:rPr>
              <w:t>当总体</w:t>
            </w:r>
            <w:proofErr w:type="gramEnd"/>
            <w:r w:rsidRPr="00F87676">
              <w:rPr>
                <w:rFonts w:ascii="仿宋" w:eastAsia="仿宋" w:hAnsi="仿宋" w:cs="Arial" w:hint="eastAsia"/>
                <w:color w:val="0070C0"/>
                <w:sz w:val="24"/>
              </w:rPr>
              <w:t>审计策略的制定是假设境外组成部分的内部控制对报表重大错报风险能够起到有效防范作用的，接下来的工作程序就应包括</w:t>
            </w:r>
            <w:r w:rsidRPr="00F87676">
              <w:rPr>
                <w:rFonts w:ascii="仿宋" w:eastAsia="仿宋" w:hAnsi="仿宋" w:cs="Arial"/>
                <w:color w:val="0070C0"/>
                <w:sz w:val="24"/>
              </w:rPr>
              <w:t>: I</w:t>
            </w:r>
            <w:r w:rsidRPr="00F87676">
              <w:rPr>
                <w:rFonts w:ascii="仿宋" w:eastAsia="仿宋" w:hAnsi="仿宋" w:cs="Arial" w:hint="eastAsia"/>
                <w:color w:val="0070C0"/>
                <w:sz w:val="24"/>
              </w:rPr>
              <w:t>）评价内部控制的设计有效性，并实施具体的抽样测试，取得对境外组成部分内控有效性程度的审计证据并记录形成工作底稿；</w:t>
            </w:r>
            <w:r w:rsidRPr="00F87676">
              <w:rPr>
                <w:rFonts w:ascii="仿宋" w:eastAsia="仿宋" w:hAnsi="仿宋" w:cs="Arial"/>
                <w:color w:val="0070C0"/>
                <w:sz w:val="24"/>
              </w:rPr>
              <w:t>II</w:t>
            </w:r>
            <w:r w:rsidRPr="00F87676">
              <w:rPr>
                <w:rFonts w:ascii="仿宋" w:eastAsia="仿宋" w:hAnsi="仿宋" w:cs="Arial" w:hint="eastAsia"/>
                <w:color w:val="0070C0"/>
                <w:sz w:val="24"/>
              </w:rPr>
              <w:t>）集团项目组还应了解境外注册会计师与当地管理层以及公司治理层的沟通文件，作为工作底稿的组成部分，</w:t>
            </w:r>
            <w:r w:rsidRPr="00F87676">
              <w:rPr>
                <w:rFonts w:ascii="仿宋" w:eastAsia="仿宋" w:hAnsi="仿宋" w:cs="Arial"/>
                <w:color w:val="0070C0"/>
                <w:sz w:val="24"/>
              </w:rPr>
              <w:t xml:space="preserve"> </w:t>
            </w:r>
            <w:r w:rsidRPr="00F87676">
              <w:rPr>
                <w:rFonts w:ascii="仿宋" w:eastAsia="仿宋" w:hAnsi="仿宋" w:cs="Arial" w:hint="eastAsia"/>
                <w:color w:val="0070C0"/>
                <w:sz w:val="24"/>
              </w:rPr>
              <w:t>里面是否记录了对内控评价和测试后的缺陷发现，与报表重大错报的关联性和整改措施</w:t>
            </w:r>
          </w:p>
        </w:tc>
      </w:tr>
      <w:tr w:rsidR="00907075" w:rsidRPr="00BF1F7C" w:rsidTr="0082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801" w:type="dxa"/>
            <w:vMerge w:val="restart"/>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第四阶段：</w:t>
            </w:r>
          </w:p>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分析性复核</w:t>
            </w:r>
          </w:p>
        </w:tc>
        <w:tc>
          <w:tcPr>
            <w:tcW w:w="7838" w:type="dxa"/>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确认境外注册会计师是否采用了分析性复核程序对境外组成部分的经营环境和公司层面预先做了报表错报的风险因素梳理和识别</w:t>
            </w:r>
          </w:p>
        </w:tc>
      </w:tr>
      <w:tr w:rsidR="00907075" w:rsidRPr="00BF1F7C" w:rsidTr="0082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1801" w:type="dxa"/>
            <w:vMerge/>
            <w:vAlign w:val="center"/>
            <w:hideMark/>
          </w:tcPr>
          <w:p w:rsidR="00907075" w:rsidRPr="00F87676" w:rsidRDefault="00907075" w:rsidP="00822E90">
            <w:pPr>
              <w:rPr>
                <w:rFonts w:ascii="仿宋" w:eastAsia="仿宋" w:hAnsi="仿宋" w:cs="Arial"/>
                <w:color w:val="0070C0"/>
                <w:sz w:val="24"/>
              </w:rPr>
            </w:pPr>
          </w:p>
        </w:tc>
        <w:tc>
          <w:tcPr>
            <w:tcW w:w="7838" w:type="dxa"/>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确认境外注册会计师在审计趋于完成阶段，是否采纳了总体分析性复核，</w:t>
            </w:r>
            <w:r w:rsidRPr="00F87676">
              <w:rPr>
                <w:rFonts w:ascii="仿宋" w:eastAsia="仿宋" w:hAnsi="仿宋" w:cs="Arial"/>
                <w:color w:val="0070C0"/>
                <w:sz w:val="24"/>
              </w:rPr>
              <w:t xml:space="preserve"> </w:t>
            </w:r>
            <w:r w:rsidRPr="00F87676">
              <w:rPr>
                <w:rFonts w:ascii="仿宋" w:eastAsia="仿宋" w:hAnsi="仿宋" w:cs="Arial" w:hint="eastAsia"/>
                <w:color w:val="0070C0"/>
                <w:sz w:val="24"/>
              </w:rPr>
              <w:t>针对经审计调整后的境外组成部分的财务报表的数字做了通盘勾</w:t>
            </w:r>
            <w:proofErr w:type="gramStart"/>
            <w:r w:rsidRPr="00F87676">
              <w:rPr>
                <w:rFonts w:ascii="仿宋" w:eastAsia="仿宋" w:hAnsi="仿宋" w:cs="Arial" w:hint="eastAsia"/>
                <w:color w:val="0070C0"/>
                <w:sz w:val="24"/>
              </w:rPr>
              <w:t>稽</w:t>
            </w:r>
            <w:proofErr w:type="gramEnd"/>
            <w:r w:rsidRPr="00F87676">
              <w:rPr>
                <w:rFonts w:ascii="仿宋" w:eastAsia="仿宋" w:hAnsi="仿宋" w:cs="Arial" w:hint="eastAsia"/>
                <w:color w:val="0070C0"/>
                <w:sz w:val="24"/>
              </w:rPr>
              <w:t>关系的合理性分析，以及比较性分析，印证审计调整后的报表与公司经营结果、业务实质和财务状况的吻合度</w:t>
            </w:r>
            <w:r w:rsidRPr="00F87676">
              <w:rPr>
                <w:rFonts w:ascii="仿宋" w:eastAsia="仿宋" w:hAnsi="仿宋" w:cs="Arial"/>
                <w:color w:val="0070C0"/>
                <w:sz w:val="24"/>
              </w:rPr>
              <w:t xml:space="preserve"> </w:t>
            </w:r>
          </w:p>
        </w:tc>
      </w:tr>
      <w:tr w:rsidR="00907075" w:rsidRPr="00BF1F7C" w:rsidTr="0082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0"/>
        </w:trPr>
        <w:tc>
          <w:tcPr>
            <w:tcW w:w="1801" w:type="dxa"/>
            <w:vMerge w:val="restart"/>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第五阶段：</w:t>
            </w:r>
          </w:p>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实质性测试</w:t>
            </w:r>
          </w:p>
        </w:tc>
        <w:tc>
          <w:tcPr>
            <w:tcW w:w="7838" w:type="dxa"/>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确认是否所有的重大交易、重大科目余额和重要披露都经境外注册会计师执行了实质性程序（此环节涵盖的工作内容不论此科目</w:t>
            </w:r>
            <w:r w:rsidRPr="00F87676">
              <w:rPr>
                <w:rFonts w:ascii="仿宋" w:eastAsia="仿宋" w:hAnsi="仿宋" w:cs="Arial"/>
                <w:color w:val="0070C0"/>
                <w:sz w:val="24"/>
              </w:rPr>
              <w:t>/披露是否是识别出的重大审计风险与否）</w:t>
            </w:r>
          </w:p>
        </w:tc>
      </w:tr>
      <w:tr w:rsidR="00907075" w:rsidRPr="00BF1F7C" w:rsidTr="00822E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4"/>
        </w:trPr>
        <w:tc>
          <w:tcPr>
            <w:tcW w:w="1801" w:type="dxa"/>
            <w:vMerge/>
            <w:vAlign w:val="center"/>
            <w:hideMark/>
          </w:tcPr>
          <w:p w:rsidR="00907075" w:rsidRPr="00F87676" w:rsidRDefault="00907075" w:rsidP="00822E90">
            <w:pPr>
              <w:rPr>
                <w:rFonts w:ascii="仿宋" w:eastAsia="仿宋" w:hAnsi="仿宋" w:cs="Arial"/>
                <w:color w:val="0070C0"/>
                <w:sz w:val="24"/>
              </w:rPr>
            </w:pPr>
          </w:p>
        </w:tc>
        <w:tc>
          <w:tcPr>
            <w:tcW w:w="7838" w:type="dxa"/>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针对已识别的重大审计风险，是否执行了特殊的实质性程序，而非仅仅做了分析性复核；关注该等实质性程序的抽样方法和样本量是否得当</w:t>
            </w:r>
          </w:p>
        </w:tc>
      </w:tr>
      <w:tr w:rsidR="00907075" w:rsidRPr="00BF1F7C" w:rsidTr="00822E90">
        <w:trPr>
          <w:trHeight w:val="2190"/>
        </w:trPr>
        <w:tc>
          <w:tcPr>
            <w:tcW w:w="18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第六阶段：</w:t>
            </w:r>
            <w:r w:rsidRPr="00F87676">
              <w:rPr>
                <w:rFonts w:ascii="仿宋" w:eastAsia="仿宋" w:hAnsi="仿宋" w:cs="Arial"/>
                <w:color w:val="0070C0"/>
                <w:sz w:val="24"/>
              </w:rPr>
              <w:t xml:space="preserve"> </w:t>
            </w:r>
          </w:p>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完成阶段</w:t>
            </w:r>
          </w:p>
          <w:p w:rsidR="00907075" w:rsidRPr="00F87676" w:rsidRDefault="00907075" w:rsidP="00822E90">
            <w:pPr>
              <w:rPr>
                <w:rFonts w:ascii="仿宋" w:eastAsia="仿宋" w:hAnsi="仿宋" w:cs="Arial"/>
                <w:color w:val="0070C0"/>
                <w:sz w:val="24"/>
              </w:rPr>
            </w:pPr>
          </w:p>
        </w:tc>
        <w:tc>
          <w:tcPr>
            <w:tcW w:w="7838" w:type="dxa"/>
            <w:tcBorders>
              <w:top w:val="single" w:sz="4" w:space="0" w:color="auto"/>
              <w:left w:val="nil"/>
              <w:bottom w:val="single" w:sz="4" w:space="0" w:color="auto"/>
              <w:right w:val="single" w:sz="4" w:space="0" w:color="auto"/>
            </w:tcBorders>
            <w:shd w:val="clear" w:color="auto" w:fill="auto"/>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在完成阶段，集团项目</w:t>
            </w:r>
            <w:proofErr w:type="gramStart"/>
            <w:r w:rsidRPr="00F87676">
              <w:rPr>
                <w:rFonts w:ascii="仿宋" w:eastAsia="仿宋" w:hAnsi="仿宋" w:cs="Arial" w:hint="eastAsia"/>
                <w:color w:val="0070C0"/>
                <w:sz w:val="24"/>
              </w:rPr>
              <w:t>组应该</w:t>
            </w:r>
            <w:proofErr w:type="gramEnd"/>
            <w:r w:rsidRPr="00F87676">
              <w:rPr>
                <w:rFonts w:ascii="仿宋" w:eastAsia="仿宋" w:hAnsi="仿宋" w:cs="Arial" w:hint="eastAsia"/>
                <w:color w:val="0070C0"/>
                <w:sz w:val="24"/>
              </w:rPr>
              <w:t>与境外组成部分注册会计师签字合伙人确认：是否所有未更正调整事项都反应在“未更正调整事项汇总表”上，并与当地管理层确认未经调整的原因，测评对整体报表（境外组成部分层面和集团合并层面）的影响程度后，各方无异议，作为在管理当局声明书附件</w:t>
            </w:r>
            <w:r w:rsidRPr="00F87676">
              <w:rPr>
                <w:rFonts w:ascii="仿宋" w:eastAsia="仿宋" w:hAnsi="仿宋" w:cs="Arial"/>
                <w:color w:val="0070C0"/>
                <w:sz w:val="24"/>
              </w:rPr>
              <w:t xml:space="preserve"> </w:t>
            </w:r>
            <w:r w:rsidRPr="00F87676">
              <w:rPr>
                <w:rFonts w:ascii="仿宋" w:eastAsia="仿宋" w:hAnsi="仿宋" w:cs="Arial" w:hint="eastAsia"/>
                <w:color w:val="0070C0"/>
                <w:sz w:val="24"/>
              </w:rPr>
              <w:t>一并得到管理层（执行董事</w:t>
            </w:r>
            <w:r w:rsidRPr="00F87676">
              <w:rPr>
                <w:rFonts w:ascii="仿宋" w:eastAsia="仿宋" w:hAnsi="仿宋" w:cs="Arial"/>
                <w:color w:val="0070C0"/>
                <w:sz w:val="24"/>
              </w:rPr>
              <w:t xml:space="preserve">CEO和CFO） </w:t>
            </w:r>
            <w:r w:rsidRPr="00F87676">
              <w:rPr>
                <w:rFonts w:ascii="仿宋" w:eastAsia="仿宋" w:hAnsi="仿宋" w:cs="Arial" w:hint="eastAsia"/>
                <w:color w:val="0070C0"/>
                <w:sz w:val="24"/>
              </w:rPr>
              <w:t>的签署确认；关键审计事项，了解境外注册会计师对关键审计事项的工作结论和在境外组成部分的单体审计报告中的披露情况</w:t>
            </w:r>
            <w:r>
              <w:rPr>
                <w:rFonts w:ascii="仿宋" w:eastAsia="仿宋" w:hAnsi="仿宋" w:cs="Arial" w:hint="eastAsia"/>
                <w:color w:val="0070C0"/>
                <w:sz w:val="24"/>
              </w:rPr>
              <w:t>。</w:t>
            </w:r>
          </w:p>
        </w:tc>
      </w:tr>
      <w:tr w:rsidR="00907075" w:rsidRPr="00BF1F7C" w:rsidTr="00822E90">
        <w:trPr>
          <w:trHeight w:val="142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single" w:sz="4" w:space="0" w:color="auto"/>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在集团的审计工作底稿中记录：境外注册会计师的具体审计计划，总体审计策略，依据的审计准则（通常是</w:t>
            </w:r>
            <w:r w:rsidRPr="00F87676">
              <w:rPr>
                <w:rFonts w:ascii="仿宋" w:eastAsia="仿宋" w:hAnsi="仿宋" w:cs="Arial"/>
                <w:color w:val="0070C0"/>
                <w:sz w:val="24"/>
              </w:rPr>
              <w:t xml:space="preserve">ISA国际审计准则），经审计报表的会计编制基础和会计准则（通常是国际财务报告准则），审计证据的取得程度， </w:t>
            </w:r>
            <w:r w:rsidRPr="00F87676">
              <w:rPr>
                <w:rFonts w:ascii="仿宋" w:eastAsia="仿宋" w:hAnsi="仿宋" w:cs="Arial" w:hint="eastAsia"/>
                <w:color w:val="0070C0"/>
                <w:sz w:val="24"/>
              </w:rPr>
              <w:t>和审计结论；以及是否有特殊解释事项和其它疑虑</w:t>
            </w:r>
          </w:p>
        </w:tc>
      </w:tr>
      <w:tr w:rsidR="00907075" w:rsidRPr="00BF1F7C" w:rsidTr="00822E90">
        <w:trPr>
          <w:trHeight w:val="142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single" w:sz="4" w:space="0" w:color="auto"/>
              <w:left w:val="nil"/>
              <w:bottom w:val="single" w:sz="4" w:space="0" w:color="auto"/>
              <w:right w:val="single" w:sz="4" w:space="0" w:color="auto"/>
            </w:tcBorders>
            <w:shd w:val="clear" w:color="auto" w:fill="auto"/>
            <w:vAlign w:val="center"/>
            <w:hideMark/>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针对在境外组成部分的管理</w:t>
            </w:r>
            <w:proofErr w:type="gramStart"/>
            <w:r w:rsidRPr="00F87676">
              <w:rPr>
                <w:rFonts w:ascii="仿宋" w:eastAsia="仿宋" w:hAnsi="仿宋" w:cs="Arial" w:hint="eastAsia"/>
                <w:color w:val="0070C0"/>
                <w:sz w:val="24"/>
              </w:rPr>
              <w:t>层重大</w:t>
            </w:r>
            <w:proofErr w:type="gramEnd"/>
            <w:r w:rsidRPr="00F87676">
              <w:rPr>
                <w:rFonts w:ascii="仿宋" w:eastAsia="仿宋" w:hAnsi="仿宋" w:cs="Arial" w:hint="eastAsia"/>
                <w:color w:val="0070C0"/>
                <w:sz w:val="24"/>
              </w:rPr>
              <w:t>判断和财务处理的基本假设，通盘考虑对集团合并报表的总体影响，集团项目组还应做出清晰详细的工作底稿记录，关注境外注册会计师的分析和专业判断是否与当地管理层有何重大不一致之处</w:t>
            </w:r>
          </w:p>
        </w:tc>
      </w:tr>
      <w:tr w:rsidR="00907075" w:rsidRPr="00BF1F7C" w:rsidTr="00822E90">
        <w:trPr>
          <w:trHeight w:val="103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针对舞弊风险，在审计完成阶段，</w:t>
            </w:r>
            <w:r w:rsidRPr="00F87676">
              <w:rPr>
                <w:rFonts w:ascii="仿宋" w:eastAsia="仿宋" w:hAnsi="仿宋" w:cs="Arial"/>
                <w:color w:val="0070C0"/>
                <w:sz w:val="24"/>
              </w:rPr>
              <w:t xml:space="preserve"> </w:t>
            </w:r>
            <w:r w:rsidRPr="00F87676">
              <w:rPr>
                <w:rFonts w:ascii="仿宋" w:eastAsia="仿宋" w:hAnsi="仿宋" w:cs="Arial" w:hint="eastAsia"/>
                <w:color w:val="0070C0"/>
                <w:sz w:val="24"/>
              </w:rPr>
              <w:t>境外注册会计师应再次询问公司治理层，并做结论性分析形成工作底稿记录；集团项目组的工作底稿中也应做相应的记录；尤其关注现金日记账的非日常业务分录的疑点发现</w:t>
            </w:r>
          </w:p>
        </w:tc>
      </w:tr>
      <w:tr w:rsidR="00907075" w:rsidRPr="00BF1F7C" w:rsidTr="00822E90">
        <w:trPr>
          <w:trHeight w:val="1425"/>
        </w:trPr>
        <w:tc>
          <w:tcPr>
            <w:tcW w:w="1801" w:type="dxa"/>
            <w:vMerge/>
            <w:tcBorders>
              <w:top w:val="single" w:sz="4" w:space="0" w:color="auto"/>
              <w:left w:val="single" w:sz="4" w:space="0" w:color="auto"/>
              <w:bottom w:val="single" w:sz="4" w:space="0" w:color="auto"/>
              <w:right w:val="single" w:sz="4" w:space="0" w:color="auto"/>
            </w:tcBorders>
            <w:vAlign w:val="center"/>
            <w:hideMark/>
          </w:tcPr>
          <w:p w:rsidR="00907075" w:rsidRPr="00F87676" w:rsidRDefault="00907075" w:rsidP="00822E90">
            <w:pPr>
              <w:rPr>
                <w:rFonts w:ascii="仿宋" w:eastAsia="仿宋" w:hAnsi="仿宋" w:cs="Arial"/>
                <w:color w:val="0070C0"/>
                <w:sz w:val="24"/>
              </w:rPr>
            </w:pPr>
          </w:p>
        </w:tc>
        <w:tc>
          <w:tcPr>
            <w:tcW w:w="7838" w:type="dxa"/>
            <w:tcBorders>
              <w:top w:val="nil"/>
              <w:left w:val="nil"/>
              <w:bottom w:val="single" w:sz="4" w:space="0" w:color="auto"/>
              <w:right w:val="single" w:sz="4" w:space="0" w:color="auto"/>
            </w:tcBorders>
            <w:shd w:val="clear" w:color="auto" w:fill="auto"/>
            <w:vAlign w:val="center"/>
          </w:tcPr>
          <w:p w:rsidR="00907075" w:rsidRPr="00F87676" w:rsidRDefault="00907075" w:rsidP="00822E90">
            <w:pPr>
              <w:rPr>
                <w:rFonts w:ascii="仿宋" w:eastAsia="仿宋" w:hAnsi="仿宋" w:cs="Arial"/>
                <w:color w:val="0070C0"/>
                <w:sz w:val="24"/>
              </w:rPr>
            </w:pPr>
            <w:r w:rsidRPr="00F87676">
              <w:rPr>
                <w:rFonts w:ascii="仿宋" w:eastAsia="仿宋" w:hAnsi="仿宋" w:cs="Arial" w:hint="eastAsia"/>
                <w:color w:val="0070C0"/>
                <w:sz w:val="24"/>
              </w:rPr>
              <w:t>对关联交易的信息披露和辨认，通常是集团公司都面临的工作难点</w:t>
            </w:r>
            <w:r>
              <w:rPr>
                <w:rFonts w:ascii="仿宋" w:eastAsia="仿宋" w:hAnsi="仿宋" w:cs="Arial" w:hint="eastAsia"/>
                <w:color w:val="0070C0"/>
                <w:sz w:val="24"/>
              </w:rPr>
              <w:t>。</w:t>
            </w:r>
            <w:r w:rsidRPr="00F87676">
              <w:rPr>
                <w:rFonts w:ascii="仿宋" w:eastAsia="仿宋" w:hAnsi="仿宋" w:cs="Arial" w:hint="eastAsia"/>
                <w:color w:val="0070C0"/>
                <w:sz w:val="24"/>
              </w:rPr>
              <w:t>在把控其披露的信息质量层面，集团项目组和境外注册会计师需要双方团队在审计的全过程，充分重视工作分工，协调集团管理层和境外组成部分管理层，确保核验完整的披露信息</w:t>
            </w:r>
          </w:p>
        </w:tc>
      </w:tr>
    </w:tbl>
    <w:p w:rsidR="00907075" w:rsidRDefault="00907075" w:rsidP="00907075"/>
    <w:p w:rsidR="00907075" w:rsidRDefault="00907075" w:rsidP="00907075">
      <w:pPr>
        <w:ind w:firstLineChars="200" w:firstLine="640"/>
        <w:rPr>
          <w:rFonts w:ascii="仿宋_GB2312" w:eastAsia="仿宋_GB2312"/>
          <w:sz w:val="32"/>
        </w:rPr>
      </w:pPr>
    </w:p>
    <w:p w:rsidR="00907075" w:rsidRDefault="00907075" w:rsidP="00907075">
      <w:pPr>
        <w:rPr>
          <w:rFonts w:ascii="仿宋_GB2312" w:eastAsia="仿宋_GB2312"/>
          <w:sz w:val="32"/>
        </w:rPr>
      </w:pPr>
    </w:p>
    <w:p w:rsidR="00907075" w:rsidRDefault="00907075" w:rsidP="00907075">
      <w:pPr>
        <w:rPr>
          <w:rFonts w:ascii="仿宋_GB2312" w:eastAsia="仿宋_GB2312"/>
          <w:sz w:val="32"/>
        </w:rPr>
      </w:pPr>
    </w:p>
    <w:p w:rsidR="00907075" w:rsidRDefault="00907075" w:rsidP="00907075">
      <w:pPr>
        <w:rPr>
          <w:rFonts w:ascii="仿宋_GB2312" w:eastAsia="仿宋_GB2312"/>
          <w:sz w:val="32"/>
        </w:rPr>
      </w:pPr>
    </w:p>
    <w:p w:rsidR="00907075" w:rsidRDefault="00907075" w:rsidP="00907075">
      <w:pPr>
        <w:rPr>
          <w:rFonts w:ascii="仿宋_GB2312" w:eastAsia="仿宋_GB2312"/>
          <w:sz w:val="32"/>
        </w:rPr>
      </w:pPr>
    </w:p>
    <w:p w:rsidR="00907075" w:rsidRDefault="00907075" w:rsidP="00907075">
      <w:pPr>
        <w:rPr>
          <w:rFonts w:ascii="仿宋_GB2312" w:eastAsia="仿宋_GB2312"/>
          <w:sz w:val="32"/>
        </w:rPr>
      </w:pPr>
    </w:p>
    <w:p w:rsidR="00907075" w:rsidRDefault="00907075" w:rsidP="00907075">
      <w:pPr>
        <w:rPr>
          <w:rFonts w:ascii="仿宋_GB2312" w:eastAsia="仿宋_GB2312"/>
          <w:sz w:val="32"/>
        </w:rPr>
      </w:pPr>
    </w:p>
    <w:p w:rsidR="00907075" w:rsidRDefault="00907075" w:rsidP="00907075">
      <w:pPr>
        <w:rPr>
          <w:rFonts w:ascii="仿宋_GB2312" w:eastAsia="仿宋_GB2312"/>
          <w:sz w:val="32"/>
        </w:rPr>
      </w:pPr>
    </w:p>
    <w:p w:rsidR="00907075" w:rsidRPr="00611CAA" w:rsidRDefault="00907075" w:rsidP="00907075"/>
    <w:p w:rsidR="005066DB" w:rsidRPr="00907075" w:rsidRDefault="005066DB"/>
    <w:sectPr w:rsidR="005066DB" w:rsidRPr="00907075">
      <w:footerReference w:type="even" r:id="rId8"/>
      <w:footerReference w:type="default" r:id="rId9"/>
      <w:pgSz w:w="11906" w:h="16838"/>
      <w:pgMar w:top="1440" w:right="1106" w:bottom="1440" w:left="12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80" w:rsidRDefault="00A92D80" w:rsidP="00907075">
      <w:r>
        <w:separator/>
      </w:r>
    </w:p>
  </w:endnote>
  <w:endnote w:type="continuationSeparator" w:id="0">
    <w:p w:rsidR="00A92D80" w:rsidRDefault="00A92D80" w:rsidP="0090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D8" w:rsidRDefault="00AA12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A14D8" w:rsidRDefault="00A92D8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D8" w:rsidRDefault="00AA12F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F057C">
      <w:rPr>
        <w:rStyle w:val="a5"/>
        <w:noProof/>
      </w:rPr>
      <w:t>3</w:t>
    </w:r>
    <w:r>
      <w:rPr>
        <w:rStyle w:val="a5"/>
      </w:rPr>
      <w:fldChar w:fldCharType="end"/>
    </w:r>
  </w:p>
  <w:p w:rsidR="008A14D8" w:rsidRDefault="00A92D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80" w:rsidRDefault="00A92D80" w:rsidP="00907075">
      <w:r>
        <w:separator/>
      </w:r>
    </w:p>
  </w:footnote>
  <w:footnote w:type="continuationSeparator" w:id="0">
    <w:p w:rsidR="00A92D80" w:rsidRDefault="00A92D80" w:rsidP="00907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14DCF"/>
    <w:multiLevelType w:val="hybridMultilevel"/>
    <w:tmpl w:val="088C6164"/>
    <w:lvl w:ilvl="0" w:tplc="C9986F52">
      <w:start w:val="1"/>
      <w:numFmt w:val="japaneseCounting"/>
      <w:lvlText w:val="%1、"/>
      <w:lvlJc w:val="left"/>
      <w:pPr>
        <w:ind w:left="143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688"/>
    <w:rsid w:val="000F057C"/>
    <w:rsid w:val="004A7261"/>
    <w:rsid w:val="005066DB"/>
    <w:rsid w:val="00711688"/>
    <w:rsid w:val="00907075"/>
    <w:rsid w:val="00A92D80"/>
    <w:rsid w:val="00AA1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75"/>
    <w:rPr>
      <w:sz w:val="18"/>
      <w:szCs w:val="18"/>
    </w:rPr>
  </w:style>
  <w:style w:type="paragraph" w:styleId="a4">
    <w:name w:val="footer"/>
    <w:basedOn w:val="a"/>
    <w:link w:val="Char0"/>
    <w:unhideWhenUsed/>
    <w:rsid w:val="00907075"/>
    <w:pPr>
      <w:tabs>
        <w:tab w:val="center" w:pos="4153"/>
        <w:tab w:val="right" w:pos="8306"/>
      </w:tabs>
      <w:snapToGrid w:val="0"/>
      <w:jc w:val="left"/>
    </w:pPr>
    <w:rPr>
      <w:sz w:val="18"/>
      <w:szCs w:val="18"/>
    </w:rPr>
  </w:style>
  <w:style w:type="character" w:customStyle="1" w:styleId="Char0">
    <w:name w:val="页脚 Char"/>
    <w:basedOn w:val="a0"/>
    <w:link w:val="a4"/>
    <w:rsid w:val="00907075"/>
    <w:rPr>
      <w:sz w:val="18"/>
      <w:szCs w:val="18"/>
    </w:rPr>
  </w:style>
  <w:style w:type="character" w:styleId="a5">
    <w:name w:val="page number"/>
    <w:rsid w:val="00907075"/>
  </w:style>
  <w:style w:type="paragraph" w:styleId="a6">
    <w:name w:val="List Paragraph"/>
    <w:basedOn w:val="a"/>
    <w:uiPriority w:val="34"/>
    <w:qFormat/>
    <w:rsid w:val="00907075"/>
    <w:pPr>
      <w:widowControl/>
      <w:ind w:left="720"/>
      <w:contextualSpacing/>
      <w:jc w:val="left"/>
    </w:pPr>
    <w:rPr>
      <w:rFonts w:ascii="Calibri" w:hAnsi="Calibri"/>
      <w:kern w:val="0"/>
      <w:sz w:val="20"/>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0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70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7075"/>
    <w:rPr>
      <w:sz w:val="18"/>
      <w:szCs w:val="18"/>
    </w:rPr>
  </w:style>
  <w:style w:type="paragraph" w:styleId="a4">
    <w:name w:val="footer"/>
    <w:basedOn w:val="a"/>
    <w:link w:val="Char0"/>
    <w:unhideWhenUsed/>
    <w:rsid w:val="00907075"/>
    <w:pPr>
      <w:tabs>
        <w:tab w:val="center" w:pos="4153"/>
        <w:tab w:val="right" w:pos="8306"/>
      </w:tabs>
      <w:snapToGrid w:val="0"/>
      <w:jc w:val="left"/>
    </w:pPr>
    <w:rPr>
      <w:sz w:val="18"/>
      <w:szCs w:val="18"/>
    </w:rPr>
  </w:style>
  <w:style w:type="character" w:customStyle="1" w:styleId="Char0">
    <w:name w:val="页脚 Char"/>
    <w:basedOn w:val="a0"/>
    <w:link w:val="a4"/>
    <w:rsid w:val="00907075"/>
    <w:rPr>
      <w:sz w:val="18"/>
      <w:szCs w:val="18"/>
    </w:rPr>
  </w:style>
  <w:style w:type="character" w:styleId="a5">
    <w:name w:val="page number"/>
    <w:rsid w:val="00907075"/>
  </w:style>
  <w:style w:type="paragraph" w:styleId="a6">
    <w:name w:val="List Paragraph"/>
    <w:basedOn w:val="a"/>
    <w:uiPriority w:val="34"/>
    <w:qFormat/>
    <w:rsid w:val="00907075"/>
    <w:pPr>
      <w:widowControl/>
      <w:ind w:left="720"/>
      <w:contextualSpacing/>
      <w:jc w:val="left"/>
    </w:pPr>
    <w:rPr>
      <w:rFonts w:ascii="Calibri" w:hAnsi="Calibri"/>
      <w:kern w:val="0"/>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李志虹</dc:creator>
  <cp:lastModifiedBy>李志虹</cp:lastModifiedBy>
  <cp:revision>2</cp:revision>
  <dcterms:created xsi:type="dcterms:W3CDTF">2019-06-13T08:17:00Z</dcterms:created>
  <dcterms:modified xsi:type="dcterms:W3CDTF">2019-06-13T08:17:00Z</dcterms:modified>
</cp:coreProperties>
</file>